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single" w:sz="12" w:space="0" w:color="0F2440"/>
          <w:bottom w:val="single" w:sz="18" w:space="0" w:color="1E3A5F"/>
          <w:left w:val="single" w:sz="12" w:space="0" w:color="0F2440"/>
          <w:right w:val="single" w:sz="12" w:space="0" w:color="0F2440"/>
          <w:insideV w:val="none"/>
        </w:tblBorders>
      </w:tblPr>
      <w:tblGrid>
        <w:gridCol w:w="5839"/>
        <w:gridCol w:w="3969"/>
      </w:tblGrid>
      <w:tr>
        <w:tc>
          <w:tcPr>
            <w:tcW w:type="dxa" w:w="4904"/>
            <w:shd w:fill="0F2440"/>
            <w:tcMar>
              <w:top w:w="180" w:type="dxa"/>
              <w:bottom w:w="180" w:type="dxa"/>
              <w:left w:w="220" w:type="dxa"/>
              <w:right w:w="140" w:type="dxa"/>
            </w:tcMar>
            <w:vAlign w:val="center"/>
          </w:tcPr>
          <w:p>
            <w:pPr>
              <w:spacing w:before="0" w:after="60"/>
            </w:pPr>
            <w:r>
              <w:rPr>
                <w:rFonts w:ascii="Arial" w:hAnsi="Arial"/>
                <w:b/>
                <w:color w:val="FFFFFF"/>
                <w:sz w:val="32"/>
              </w:rPr>
              <w:t>НОРМОГРАФ</w:t>
            </w:r>
            <w:r>
              <w:rPr>
                <w:rFonts w:ascii="Arial" w:hAnsi="Arial"/>
                <w:color w:val="93C5FD"/>
                <w:sz w:val="26"/>
              </w:rPr>
              <w:t xml:space="preserve">  |  </w:t>
            </w:r>
            <w:r>
              <w:rPr>
                <w:rFonts w:ascii="Arial" w:hAnsi="Arial"/>
                <w:b/>
                <w:color w:val="DBEAFE"/>
                <w:sz w:val="17"/>
              </w:rPr>
              <w:t>СИСТЕМА НОРМАТИВНОГО КОНТРОЛЯ</w:t>
            </w:r>
          </w:p>
          <w:p>
            <w:pPr>
              <w:spacing w:before="40" w:after="0"/>
            </w:pPr>
            <w:r>
              <w:rPr>
                <w:rFonts w:ascii="Arial" w:hAnsi="Arial"/>
                <w:color w:val="CBD5E1"/>
                <w:sz w:val="17"/>
              </w:rPr>
              <w:t>Российская инженерная платформа автоматизации 5 контуров безопасности:</w:t>
              <w:br/>
              <w:t>Охрана труда · Промбезопасность · Пожбезопасность · Электробезопасность · Экология</w:t>
            </w:r>
          </w:p>
        </w:tc>
        <w:tc>
          <w:tcPr>
            <w:tcW w:type="dxa" w:w="4904"/>
            <w:shd w:fill="0F2440"/>
            <w:tcMar>
              <w:top w:w="180" w:type="dxa"/>
              <w:bottom w:w="180" w:type="dxa"/>
              <w:left w:w="140" w:type="dxa"/>
              <w:right w:w="220" w:type="dxa"/>
            </w:tcMar>
            <w:vAlign w:val="center"/>
          </w:tcPr>
          <w:p>
            <w:pPr>
              <w:spacing w:before="0" w:after="0"/>
              <w:jc w:val="right"/>
            </w:pPr>
            <w:r>
              <w:rPr>
                <w:rFonts w:ascii="Arial" w:hAnsi="Arial"/>
                <w:b/>
                <w:color w:val="FFFFFF"/>
                <w:sz w:val="18"/>
              </w:rPr>
              <w:t>ИП Попов Владимир Николаевич</w:t>
              <w:br/>
            </w:r>
            <w:r>
              <w:rPr>
                <w:rFonts w:ascii="Arial" w:hAnsi="Arial"/>
                <w:color w:val="E2E8F0"/>
                <w:sz w:val="16"/>
              </w:rPr>
              <w:t>ИНН 540128769624 · ОГРНИП 326547600182670</w:t>
              <w:br/>
              <w:t>Реестр операторов ПДн РКН № 54-26-063983</w:t>
              <w:br/>
              <w:t>нормограф.рф · normograf@yandex.com</w:t>
              <w:br/>
              <w:t>Тел.: +7 (911) 916-53-58</w:t>
            </w:r>
          </w:p>
        </w:tc>
      </w:tr>
    </w:tbl>
    <w:p>
      <w:pPr>
        <w:spacing w:before="240" w:after="40"/>
        <w:jc w:val="center"/>
      </w:pPr>
      <w:r>
        <w:rPr>
          <w:rFonts w:ascii="Arial" w:hAnsi="Arial"/>
          <w:b/>
          <w:color w:val="0F2440"/>
          <w:sz w:val="28"/>
        </w:rPr>
        <w:t>ПУБЛИЧНАЯ ОФЕРТА</w:t>
        <w:br/>
      </w:r>
      <w:r>
        <w:rPr>
          <w:rFonts w:ascii="Arial" w:hAnsi="Arial"/>
          <w:b/>
          <w:color w:val="1E3A5F"/>
          <w:sz w:val="22"/>
        </w:rPr>
        <w:t>(СМЕШАННЫЙ ДОГОВОР ОКАЗАНИЯ УСЛУГ И ПАРТНЁРСКОГО ВЗАИМОДЕЙСТВИЯ)</w:t>
        <w:br/>
        <w:t>об участии в партнёрской программе облачной платформы «НОРМОГРАФ»</w:t>
      </w:r>
    </w:p>
    <w:p>
      <w:pPr>
        <w:spacing w:before="40" w:after="200"/>
        <w:jc w:val="center"/>
      </w:pPr>
      <w:r>
        <w:rPr>
          <w:rFonts w:ascii="Arial" w:hAnsi="Arial"/>
          <w:b/>
          <w:color w:val="475569"/>
          <w:sz w:val="19"/>
        </w:rPr>
        <w:t>г. Новосибирск  ·  Редакция 1.2 от 23.10.2026 (с антикоррупционной оговоркой от 25.10.2026)</w:t>
      </w:r>
    </w:p>
    <w:p>
      <w:pPr>
        <w:keepNext/>
        <w:spacing w:before="240" w:after="80"/>
      </w:pPr>
      <w:r>
        <w:rPr>
          <w:rFonts w:ascii="Arial" w:hAnsi="Arial"/>
          <w:b/>
          <w:color w:val="0F2440"/>
          <w:sz w:val="23"/>
        </w:rPr>
        <w:t>1. Термины и определения</w:t>
      </w:r>
    </w:p>
    <w:p>
      <w:pPr>
        <w:spacing w:before="40" w:after="80" w:line="276" w:lineRule="auto"/>
        <w:jc w:val="both"/>
      </w:pPr>
      <w:r>
        <w:rPr>
          <w:rFonts w:ascii="Times New Roman" w:hAnsi="Times New Roman"/>
          <w:b/>
          <w:color w:val="111827"/>
          <w:sz w:val="22"/>
        </w:rPr>
        <w:t xml:space="preserve">1.1. Принципал (Оператор / Заказчик услуг) — </w:t>
      </w:r>
      <w:r>
        <w:rPr>
          <w:rFonts w:ascii="Times New Roman" w:hAnsi="Times New Roman"/>
          <w:color w:val="111827"/>
          <w:sz w:val="22"/>
        </w:rPr>
        <w:t>Индивидуальный предприниматель Попов Владимир Николаевич, ИНН 540128769624, ОГРНИП 326547600182670 (регистрационный номер в реестре операторов персональных данных Роскомнадзора: 54-26-063983).</w:t>
      </w:r>
    </w:p>
    <w:p>
      <w:pPr>
        <w:spacing w:before="40" w:after="80" w:line="276" w:lineRule="auto"/>
        <w:jc w:val="both"/>
      </w:pPr>
      <w:r>
        <w:rPr>
          <w:rFonts w:ascii="Times New Roman" w:hAnsi="Times New Roman"/>
          <w:b/>
          <w:color w:val="111827"/>
          <w:sz w:val="22"/>
        </w:rPr>
        <w:t xml:space="preserve">1.2. Партнёр (Исполнитель / для ЮЛ и ИП — Агент) — </w:t>
      </w:r>
      <w:r>
        <w:rPr>
          <w:rFonts w:ascii="Times New Roman" w:hAnsi="Times New Roman"/>
          <w:color w:val="111827"/>
          <w:sz w:val="22"/>
        </w:rPr>
        <w:t>юридическое лицо, индивидуальный предприниматель или самозанятый гражданин (плательщик налога на профессиональный доход по Федеральному закону № 422-ФЗ), совершивший акцепт настоящей Оферты. В соответствии с п. 5 ч. 2 ст. 4 Федерального закона № 422-ФЗ для физических лиц — плательщиков НПД (без статуса ИП) настоящий Договор является исключительно договором возмездного оказания информационных, консультационных и инженерно-методических услуг по ст. 779 ГК РФ (без элементов поручения, комиссии или агентирования); положения об агентском поручении применяются только к Партнёрам со статусом юридического лица или индивидуального предпринимателя.</w:t>
      </w:r>
    </w:p>
    <w:p>
      <w:pPr>
        <w:spacing w:before="40" w:after="80" w:line="276" w:lineRule="auto"/>
        <w:jc w:val="both"/>
      </w:pPr>
      <w:r>
        <w:rPr>
          <w:rFonts w:ascii="Times New Roman" w:hAnsi="Times New Roman"/>
          <w:b/>
          <w:color w:val="111827"/>
          <w:sz w:val="22"/>
        </w:rPr>
        <w:t xml:space="preserve">1.3. Платформа — </w:t>
      </w:r>
      <w:r>
        <w:rPr>
          <w:rFonts w:ascii="Times New Roman" w:hAnsi="Times New Roman"/>
          <w:color w:val="111827"/>
          <w:sz w:val="22"/>
        </w:rPr>
        <w:t>облачная автоматизированная информационная система нормативного контроля «НОРМОГРАФ» (https://нормограф.рф), обеспечивающая автоматическое ведение 147 обязанностей по 117 НПА РФ и формирование 106 печатных форм по ГОСТ Р 7.0.97-2016 в 5 контурах безопасности.</w:t>
      </w:r>
    </w:p>
    <w:p>
      <w:pPr>
        <w:spacing w:before="40" w:after="80" w:line="276" w:lineRule="auto"/>
        <w:jc w:val="both"/>
      </w:pPr>
      <w:r>
        <w:rPr>
          <w:rFonts w:ascii="Times New Roman" w:hAnsi="Times New Roman"/>
          <w:b/>
          <w:color w:val="111827"/>
          <w:sz w:val="22"/>
        </w:rPr>
        <w:t xml:space="preserve">1.4. Клиент — </w:t>
      </w:r>
      <w:r>
        <w:rPr>
          <w:rFonts w:ascii="Times New Roman" w:hAnsi="Times New Roman"/>
          <w:color w:val="111827"/>
          <w:sz w:val="22"/>
        </w:rPr>
        <w:t>юридическое лицо или индивидуальный предприниматель, зарегистрировавшее тенант в Платформе и оплатившее доступ к тарифам Платформы.</w:t>
      </w:r>
    </w:p>
    <w:p>
      <w:pPr>
        <w:spacing w:before="40" w:after="80" w:line="276" w:lineRule="auto"/>
        <w:jc w:val="both"/>
      </w:pPr>
      <w:r>
        <w:rPr>
          <w:rFonts w:ascii="Times New Roman" w:hAnsi="Times New Roman"/>
          <w:b/>
          <w:color w:val="111827"/>
          <w:sz w:val="22"/>
        </w:rPr>
        <w:t xml:space="preserve">1.5. Промокод (Партнёрский код) — </w:t>
      </w:r>
      <w:r>
        <w:rPr>
          <w:rFonts w:ascii="Times New Roman" w:hAnsi="Times New Roman"/>
          <w:color w:val="111827"/>
          <w:sz w:val="22"/>
        </w:rPr>
        <w:t>уникальный буквенно-цифровой идентификатор, закрепляемый за Партнёром в Платформе для учёта объёма оказанных информационно-консультационных услуг и партнёрской атрибуции.</w:t>
      </w:r>
    </w:p>
    <w:p>
      <w:pPr>
        <w:spacing w:before="40" w:after="80" w:line="276" w:lineRule="auto"/>
        <w:jc w:val="both"/>
      </w:pPr>
      <w:r>
        <w:rPr>
          <w:rFonts w:ascii="Times New Roman" w:hAnsi="Times New Roman"/>
          <w:b/>
          <w:color w:val="111827"/>
          <w:sz w:val="22"/>
        </w:rPr>
        <w:t xml:space="preserve">1.6. Атрибуция — </w:t>
      </w:r>
      <w:r>
        <w:rPr>
          <w:rFonts w:ascii="Times New Roman" w:hAnsi="Times New Roman"/>
          <w:color w:val="111827"/>
          <w:sz w:val="22"/>
        </w:rPr>
        <w:t>автоматическая фиксация связи между Партнёром и Клиентом в базе данных Платформы. Действует правило единственности: один Клиент (тенант) может быть закреплён строго за одним Партнёром (1:1).</w:t>
      </w:r>
    </w:p>
    <w:p>
      <w:pPr>
        <w:keepNext/>
        <w:spacing w:before="240" w:after="80"/>
      </w:pPr>
      <w:r>
        <w:rPr>
          <w:rFonts w:ascii="Arial" w:hAnsi="Arial"/>
          <w:b/>
          <w:color w:val="0F2440"/>
          <w:sz w:val="23"/>
        </w:rPr>
        <w:t>2. Предмет договора</w:t>
      </w:r>
    </w:p>
    <w:p>
      <w:pPr>
        <w:spacing w:before="40" w:after="80" w:line="276" w:lineRule="auto"/>
        <w:jc w:val="both"/>
      </w:pPr>
      <w:r>
        <w:rPr>
          <w:rFonts w:ascii="Times New Roman" w:hAnsi="Times New Roman"/>
          <w:b/>
          <w:color w:val="111827"/>
          <w:sz w:val="22"/>
        </w:rPr>
        <w:t xml:space="preserve">2.1. </w:t>
      </w:r>
      <w:r>
        <w:rPr>
          <w:rFonts w:ascii="Times New Roman" w:hAnsi="Times New Roman"/>
          <w:color w:val="111827"/>
          <w:sz w:val="22"/>
        </w:rPr>
        <w:t>Партнёр — юридическое лицо или ИП обязуется совершать от своего имени, но за счёт Принципала действия по привлечению Клиентов и сопровождению внедрения Платформы, а Партнёр — плательщик НПД обязуется оказывать Принципалу по ст. 779 ГК РФ информационно-методические услуги по демонстрации возможностей Платформы, первичной инженерной пусконаладке и верификации справочников сторонних организаций, а Принципал обязуется оплачивать вознаграждение за оказанные услуги (для ЮЛ и ИП — партнёрское/агентское вознаграждение) в размерах и порядке, установленных настоящей Офертой.</w:t>
      </w:r>
    </w:p>
    <w:p>
      <w:pPr>
        <w:keepNext/>
        <w:spacing w:before="240" w:after="80"/>
      </w:pPr>
      <w:r>
        <w:rPr>
          <w:rFonts w:ascii="Arial" w:hAnsi="Arial"/>
          <w:b/>
          <w:color w:val="0F2440"/>
          <w:sz w:val="23"/>
        </w:rPr>
        <w:t>3. Категории партнёров, ставки вознаграждения и программа для специалистов</w:t>
      </w:r>
    </w:p>
    <w:p>
      <w:pPr>
        <w:spacing w:before="40" w:after="80" w:line="276" w:lineRule="auto"/>
        <w:jc w:val="both"/>
      </w:pPr>
      <w:r>
        <w:rPr>
          <w:rFonts w:ascii="Times New Roman" w:hAnsi="Times New Roman"/>
          <w:b/>
          <w:color w:val="111827"/>
          <w:sz w:val="22"/>
        </w:rPr>
        <w:t xml:space="preserve">3.1. </w:t>
      </w:r>
      <w:r>
        <w:rPr>
          <w:rFonts w:ascii="Times New Roman" w:hAnsi="Times New Roman"/>
          <w:color w:val="111827"/>
          <w:sz w:val="22"/>
        </w:rPr>
        <w:t>В Платформе устанавливаются следующие категории Партнёров и ставки вознаграждения:</w:t>
      </w:r>
    </w:p>
    <w:p>
      <w:pPr>
        <w:spacing w:before="40" w:after="80" w:line="276" w:lineRule="auto"/>
        <w:ind w:left="227"/>
        <w:jc w:val="both"/>
      </w:pPr>
      <w:r>
        <w:rPr>
          <w:rFonts w:ascii="Times New Roman" w:hAnsi="Times New Roman"/>
          <w:b/>
          <w:color w:val="111827"/>
          <w:sz w:val="22"/>
        </w:rPr>
        <w:t xml:space="preserve">3.1.1. Реферальный партнёр (базовая категория): </w:t>
      </w:r>
      <w:r>
        <w:rPr>
          <w:rFonts w:ascii="Times New Roman" w:hAnsi="Times New Roman"/>
          <w:color w:val="111827"/>
          <w:sz w:val="22"/>
        </w:rPr>
        <w:t>вознаграждение с первой оплаты привлечённого Клиента (первый год) — 15% от суммы поступившего платежа; при достижении Партнёром 5 и более активных платящих Клиентов ставка вознаграждения за первую оплату последующих клиентов автоматически повышается до 20%; вознаграждение с продлений подписки — 0%.</w:t>
      </w:r>
    </w:p>
    <w:p>
      <w:pPr>
        <w:spacing w:before="40" w:after="80" w:line="276" w:lineRule="auto"/>
        <w:ind w:left="227"/>
        <w:jc w:val="both"/>
      </w:pPr>
      <w:r>
        <w:rPr>
          <w:rFonts w:ascii="Times New Roman" w:hAnsi="Times New Roman"/>
          <w:b/>
          <w:color w:val="111827"/>
          <w:sz w:val="22"/>
        </w:rPr>
        <w:t xml:space="preserve">3.1.2. Сертифицированный партнёр: </w:t>
      </w:r>
      <w:r>
        <w:rPr>
          <w:rFonts w:ascii="Times New Roman" w:hAnsi="Times New Roman"/>
          <w:color w:val="111827"/>
          <w:sz w:val="22"/>
        </w:rPr>
        <w:t>присваивается Партнёру, успешно завершившему специализированный трек Академии Нормографа «Как продавать и внедрять Нормограф» (4 обучающих модуля и квалификационный тест с результатом не менее 8 из 10 баллов; внутренняя партнёрская аттестация разработчика Платформы не подразумевает государственную сертификацию по ФЗ № 184-ФЗ или образовательную аттестацию по ФЗ № 273-ФЗ). Вознаграждение с первой оплаты привлечённого Клиента (первый год) — 25% от суммы поступившего платежа; вознаграждение с последующих оплат (продлений подписки) — 10% от суммы каждого продления при условии выполнения требований по поддержанию активности (п. 3.2).</w:t>
      </w:r>
    </w:p>
    <w:p>
      <w:pPr>
        <w:spacing w:before="40" w:after="80" w:line="276" w:lineRule="auto"/>
        <w:ind w:left="227"/>
        <w:jc w:val="both"/>
      </w:pPr>
      <w:r>
        <w:rPr>
          <w:rFonts w:ascii="Times New Roman" w:hAnsi="Times New Roman"/>
          <w:b/>
          <w:color w:val="111827"/>
          <w:sz w:val="22"/>
        </w:rPr>
        <w:t xml:space="preserve">3.1.3. Внешний профильный специалист-внедренец (инженер по охране труда, промышленной, пожарной, электробезопасности, эколог — плательщик НПД или ИП, не состоящий в штате Клиента): </w:t>
      </w:r>
      <w:r>
        <w:rPr>
          <w:rFonts w:ascii="Times New Roman" w:hAnsi="Times New Roman"/>
          <w:color w:val="111827"/>
          <w:sz w:val="22"/>
        </w:rPr>
        <w:t>за оказание Принципалу по ст. 779 ГК РФ информационно-методических услуг по проведению демонстрационного аудита матрицы обязанностей, подключению и методологическому сопровождению пользователей первой линии сторонних организаций и предприятий по внешнему совместительству (ИНН Партнёра ≠ ИНН Клиента) стоимость услуг определяется в зависимости от категории тарифа подключённого тенанта (п. 1 ст. 424, ст. 781 ГК РФ) и составляет базовую ставку 15% от стоимости первого года подписки тенанта (повышается до 20% при сопровождении 5+ активных тенантов) либо ставку Сертифицированного партнёра (25% за пусковое сопровождение первого года и 10% за методологическое сопровождение каждого последующего периода по п. 3.2) после прохождения трека Академии (/academy?track=partner). Для физических лиц — плательщиков НПД вознаграждение начисляется и выплачивается исключительно за фактически оказанные информационно-методические услуги (п. 5 ч. 2 ст. 4 Федерального закона № 422-ФЗ). Дополнительно за выполнение первичной инженерной пусконаладки и методологической верификации отраслевого профиля стороннего предприятия выплачивается фиксированное вознаграждение (грант на пусконаладку) в порядке п. 3.4 настоящей Оферты.</w:t>
      </w:r>
    </w:p>
    <w:p>
      <w:pPr>
        <w:spacing w:before="40" w:after="80" w:line="276" w:lineRule="auto"/>
        <w:jc w:val="both"/>
      </w:pPr>
      <w:r>
        <w:rPr>
          <w:rFonts w:ascii="Times New Roman" w:hAnsi="Times New Roman"/>
          <w:b/>
          <w:color w:val="111827"/>
          <w:sz w:val="22"/>
        </w:rPr>
        <w:t xml:space="preserve">3.2. Условие активности для продлений (90 дней): </w:t>
      </w:r>
      <w:r>
        <w:rPr>
          <w:rFonts w:ascii="Times New Roman" w:hAnsi="Times New Roman"/>
          <w:color w:val="111827"/>
          <w:sz w:val="22"/>
        </w:rPr>
        <w:t>вознаграждение за продление подписки (10%) начисляется Сертифицированному партнёру исключительно при условии подтверждённой активности в отношении соответствующего Клиента: наличие не менее 1 ответа Партнёра через токен с ролью «partner» в тикетах технической поддержки данного тенанта в течение предшествующих 90 календарных дней.</w:t>
      </w:r>
    </w:p>
    <w:p>
      <w:pPr>
        <w:spacing w:before="40" w:after="80" w:line="276" w:lineRule="auto"/>
        <w:jc w:val="both"/>
      </w:pPr>
      <w:r>
        <w:rPr>
          <w:rFonts w:ascii="Times New Roman" w:hAnsi="Times New Roman"/>
          <w:b/>
          <w:color w:val="111827"/>
          <w:sz w:val="22"/>
        </w:rPr>
        <w:t xml:space="preserve">3.3. Защитный совокупный потолок выплат (40%): </w:t>
      </w:r>
      <w:r>
        <w:rPr>
          <w:rFonts w:ascii="Times New Roman" w:hAnsi="Times New Roman"/>
          <w:color w:val="111827"/>
          <w:sz w:val="22"/>
        </w:rPr>
        <w:t>совокупная сумма всех начисленных Партнёру вознаграждений по конкретному Клиенту за всё время сотрудничества не может превышать 40% от общей суммы фактически оплаченных данным Клиентом счетов за всё время. Фиксированные гранты п. 3.4 в потолок агентских начислений (40%) не входят, поскольку являются оплатой услуг по первичной настройке и методологической верификации по ст. 779 ГК РФ, а не агентским вознаграждением.</w:t>
      </w:r>
    </w:p>
    <w:p>
      <w:pPr>
        <w:spacing w:before="40" w:after="80" w:line="276" w:lineRule="auto"/>
        <w:jc w:val="both"/>
      </w:pPr>
      <w:r>
        <w:rPr>
          <w:rFonts w:ascii="Times New Roman" w:hAnsi="Times New Roman"/>
          <w:b/>
          <w:color w:val="111827"/>
          <w:sz w:val="22"/>
        </w:rPr>
        <w:t>3.4. Вознаграждение (грант) внешнему профильному специалисту за первичную пусконаладку и методологическую верификацию отраслевого профиля (и неденежная лицензия «Эксперт СОТ» для штатных специалистов):</w:t>
      </w:r>
      <w:r>
        <w:rPr>
          <w:rFonts w:ascii="Times New Roman" w:hAnsi="Times New Roman"/>
          <w:color w:val="111827"/>
          <w:sz w:val="22"/>
        </w:rPr>
      </w:r>
    </w:p>
    <w:p>
      <w:pPr>
        <w:spacing w:before="40" w:after="80" w:line="276" w:lineRule="auto"/>
        <w:ind w:left="227"/>
        <w:jc w:val="both"/>
      </w:pPr>
      <w:r>
        <w:rPr>
          <w:rFonts w:ascii="Times New Roman" w:hAnsi="Times New Roman"/>
          <w:b/>
          <w:color w:val="111827"/>
          <w:sz w:val="22"/>
        </w:rPr>
        <w:t xml:space="preserve">3.4.1. Тарифная сетка пусконаладки (для внешних специалистов, аудиторов и УЦ ДПО): </w:t>
      </w:r>
      <w:r>
        <w:rPr>
          <w:rFonts w:ascii="Times New Roman" w:hAnsi="Times New Roman"/>
          <w:color w:val="111827"/>
          <w:sz w:val="22"/>
        </w:rPr>
        <w:t>при подключении предприятия к годовому тарифу Платформы внешний профильный специалист (специалист по охране труда, инженер по ПБ, ЭБ, экологии — консультант, совместитель, специалист УЦ ДПО, чей ИНН не совпадает с ИНН Клиента и который не участвует в принятии решения о закупке со стороны Клиента), завершивший практический курс Академии Нормографа (/academy?track=partner) и самостоятельно выполнивший во внерабочее время первичную инженерную пусконаладку тенанта (выверка кадровой матрицы и подразделений, установка даты отсечения бумажного архива, тестирование и методологическая верификация применимости всех 106 шаблонов документооборота Платформы по ГОСТ Р 7.0.97-2016 под ОКВЭД предприятия), вправе получить от Принципала фиксированное вознаграждение за выполненные работы — 10% от суммы первой оплаты по каноническим тарифам (при индивидуальной цене — 10% от фактически оплаченной первой суммы):</w:t>
      </w:r>
    </w:p>
    <w:tbl>
      <w:tblPr>
        <w:tblW w:type="auto" w:w="0"/>
        <w:jc w:val="center"/>
        <w:tblLook w:firstColumn="1" w:firstRow="1" w:lastColumn="0" w:lastRow="0" w:noHBand="0" w:noVBand="1" w:val="04A0"/>
        <w:tblBorders>
          <w:top w:val="single" w:sz="6" w:space="0" w:color="94A3B8"/>
          <w:bottom w:val="single" w:sz="6" w:space="0" w:color="94A3B8"/>
          <w:left w:val="single" w:sz="6" w:space="0" w:color="94A3B8"/>
          <w:right w:val="single" w:sz="6" w:space="0" w:color="94A3B8"/>
          <w:insideH w:val="single" w:sz="6" w:space="0" w:color="94A3B8"/>
          <w:insideV w:val="single" w:sz="6" w:space="0" w:color="94A3B8"/>
        </w:tblBorders>
      </w:tblPr>
      <w:tblGrid>
        <w:gridCol w:w="2452"/>
        <w:gridCol w:w="2452"/>
        <w:gridCol w:w="2452"/>
        <w:gridCol w:w="2452"/>
      </w:tblGrid>
      <w:tr>
        <w:tc>
          <w:tcPr>
            <w:tcW w:type="dxa" w:w="2452"/>
            <w:shd w:fill="1E3A5F"/>
            <w:tcMar>
              <w:top w:w="100" w:type="dxa"/>
              <w:bottom w:w="100" w:type="dxa"/>
              <w:left w:w="120" w:type="dxa"/>
              <w:right w:w="120" w:type="dxa"/>
            </w:tcMar>
          </w:tcPr>
          <w:p>
            <w:pPr>
              <w:jc w:val="center"/>
            </w:pPr>
            <w:r>
              <w:rPr>
                <w:rFonts w:ascii="Arial" w:hAnsi="Arial"/>
                <w:b/>
                <w:color w:val="FFFFFF"/>
                <w:sz w:val="18"/>
              </w:rPr>
              <w:t>Тарифный план Платформы</w:t>
            </w:r>
          </w:p>
        </w:tc>
        <w:tc>
          <w:tcPr>
            <w:tcW w:type="dxa" w:w="2452"/>
            <w:shd w:fill="1E3A5F"/>
            <w:tcMar>
              <w:top w:w="100" w:type="dxa"/>
              <w:bottom w:w="100" w:type="dxa"/>
              <w:left w:w="120" w:type="dxa"/>
              <w:right w:w="120" w:type="dxa"/>
            </w:tcMar>
          </w:tcPr>
          <w:p>
            <w:pPr>
              <w:jc w:val="center"/>
            </w:pPr>
            <w:r>
              <w:rPr>
                <w:rFonts w:ascii="Arial" w:hAnsi="Arial"/>
                <w:b/>
                <w:color w:val="FFFFFF"/>
                <w:sz w:val="18"/>
              </w:rPr>
              <w:t>Стоимость годовой подписки</w:t>
            </w:r>
          </w:p>
        </w:tc>
        <w:tc>
          <w:tcPr>
            <w:tcW w:type="dxa" w:w="2452"/>
            <w:shd w:fill="1E3A5F"/>
            <w:tcMar>
              <w:top w:w="100" w:type="dxa"/>
              <w:bottom w:w="100" w:type="dxa"/>
              <w:left w:w="120" w:type="dxa"/>
              <w:right w:w="120" w:type="dxa"/>
            </w:tcMar>
          </w:tcPr>
          <w:p>
            <w:pPr>
              <w:jc w:val="center"/>
            </w:pPr>
            <w:r>
              <w:rPr>
                <w:rFonts w:ascii="Arial" w:hAnsi="Arial"/>
                <w:b/>
                <w:color w:val="FFFFFF"/>
                <w:sz w:val="18"/>
              </w:rPr>
              <w:t>Фиксированный грант за пусконаладку (10%)</w:t>
            </w:r>
          </w:p>
        </w:tc>
        <w:tc>
          <w:tcPr>
            <w:tcW w:type="dxa" w:w="2452"/>
            <w:shd w:fill="1E3A5F"/>
            <w:tcMar>
              <w:top w:w="100" w:type="dxa"/>
              <w:bottom w:w="100" w:type="dxa"/>
              <w:left w:w="120" w:type="dxa"/>
              <w:right w:w="120" w:type="dxa"/>
            </w:tcMar>
          </w:tcPr>
          <w:p>
            <w:pPr>
              <w:jc w:val="center"/>
            </w:pPr>
            <w:r>
              <w:rPr>
                <w:rFonts w:ascii="Arial" w:hAnsi="Arial"/>
                <w:b/>
                <w:color w:val="FFFFFF"/>
                <w:sz w:val="18"/>
              </w:rPr>
              <w:t>Партнёрское вознаграждение (1-й год / продление)</w:t>
            </w:r>
          </w:p>
        </w:tc>
      </w:tr>
      <w:tr>
        <w:tc>
          <w:tcPr>
            <w:tcW w:type="dxa" w:w="2452"/>
            <w:shd w:fill="F8FAFC"/>
            <w:tcMar>
              <w:top w:w="90" w:type="dxa"/>
              <w:bottom w:w="90" w:type="dxa"/>
              <w:left w:w="120" w:type="dxa"/>
              <w:right w:w="120" w:type="dxa"/>
            </w:tcMar>
          </w:tcPr>
          <w:p>
            <w:pPr>
              <w:jc w:val="left"/>
            </w:pPr>
            <w:r>
              <w:rPr>
                <w:rFonts w:ascii="Times New Roman" w:hAnsi="Times New Roman"/>
                <w:color w:val="111827"/>
                <w:sz w:val="20"/>
              </w:rPr>
              <w:t>«Контур ПБ» (до 100 сотрудников, 1 площадка)</w:t>
            </w:r>
          </w:p>
        </w:tc>
        <w:tc>
          <w:tcPr>
            <w:tcW w:type="dxa" w:w="2452"/>
            <w:shd w:fill="F8FAFC"/>
            <w:tcMar>
              <w:top w:w="90" w:type="dxa"/>
              <w:bottom w:w="90" w:type="dxa"/>
              <w:left w:w="120" w:type="dxa"/>
              <w:right w:w="120" w:type="dxa"/>
            </w:tcMar>
          </w:tcPr>
          <w:p>
            <w:pPr>
              <w:jc w:val="center"/>
            </w:pPr>
            <w:r>
              <w:rPr>
                <w:rFonts w:ascii="Times New Roman" w:hAnsi="Times New Roman"/>
                <w:color w:val="111827"/>
                <w:sz w:val="20"/>
              </w:rPr>
              <w:t>60 000 ₽ / год</w:t>
            </w:r>
          </w:p>
        </w:tc>
        <w:tc>
          <w:tcPr>
            <w:tcW w:type="dxa" w:w="2452"/>
            <w:shd w:fill="F8FAFC"/>
            <w:tcMar>
              <w:top w:w="90" w:type="dxa"/>
              <w:bottom w:w="90" w:type="dxa"/>
              <w:left w:w="120" w:type="dxa"/>
              <w:right w:w="120" w:type="dxa"/>
            </w:tcMar>
          </w:tcPr>
          <w:p>
            <w:pPr>
              <w:jc w:val="center"/>
            </w:pPr>
            <w:r>
              <w:rPr>
                <w:rFonts w:ascii="Times New Roman" w:hAnsi="Times New Roman"/>
                <w:b/>
                <w:color w:val="0F2440"/>
                <w:sz w:val="20"/>
              </w:rPr>
              <w:t>6 000 ₽</w:t>
            </w:r>
          </w:p>
        </w:tc>
        <w:tc>
          <w:tcPr>
            <w:tcW w:type="dxa" w:w="2452"/>
            <w:shd w:fill="F8FAFC"/>
            <w:tcMar>
              <w:top w:w="90" w:type="dxa"/>
              <w:bottom w:w="90" w:type="dxa"/>
              <w:left w:w="120" w:type="dxa"/>
              <w:right w:w="120" w:type="dxa"/>
            </w:tcMar>
          </w:tcPr>
          <w:p>
            <w:pPr>
              <w:jc w:val="center"/>
            </w:pPr>
            <w:r>
              <w:rPr>
                <w:rFonts w:ascii="Times New Roman" w:hAnsi="Times New Roman"/>
                <w:color w:val="111827"/>
                <w:sz w:val="20"/>
              </w:rPr>
              <w:t>15–25% (9 000–15 000 ₽) / 10%</w:t>
            </w:r>
          </w:p>
        </w:tc>
      </w:tr>
      <w:tr>
        <w:tc>
          <w:tcPr>
            <w:tcW w:type="dxa" w:w="2452"/>
            <w:shd w:fill="FFFFFF"/>
            <w:tcMar>
              <w:top w:w="90" w:type="dxa"/>
              <w:bottom w:w="90" w:type="dxa"/>
              <w:left w:w="120" w:type="dxa"/>
              <w:right w:w="120" w:type="dxa"/>
            </w:tcMar>
          </w:tcPr>
          <w:p>
            <w:pPr>
              <w:jc w:val="left"/>
            </w:pPr>
            <w:r>
              <w:rPr>
                <w:rFonts w:ascii="Times New Roman" w:hAnsi="Times New Roman"/>
                <w:color w:val="111827"/>
                <w:sz w:val="20"/>
              </w:rPr>
              <w:t>«Контур ПБ+» (до 3 площадок, ОПО и предписания)</w:t>
            </w:r>
          </w:p>
        </w:tc>
        <w:tc>
          <w:tcPr>
            <w:tcW w:type="dxa" w:w="2452"/>
            <w:shd w:fill="FFFFFF"/>
            <w:tcMar>
              <w:top w:w="90" w:type="dxa"/>
              <w:bottom w:w="90" w:type="dxa"/>
              <w:left w:w="120" w:type="dxa"/>
              <w:right w:w="120" w:type="dxa"/>
            </w:tcMar>
          </w:tcPr>
          <w:p>
            <w:pPr>
              <w:jc w:val="center"/>
            </w:pPr>
            <w:r>
              <w:rPr>
                <w:rFonts w:ascii="Times New Roman" w:hAnsi="Times New Roman"/>
                <w:color w:val="111827"/>
                <w:sz w:val="20"/>
              </w:rPr>
              <w:t>180 000 ₽ / год</w:t>
            </w:r>
          </w:p>
        </w:tc>
        <w:tc>
          <w:tcPr>
            <w:tcW w:type="dxa" w:w="2452"/>
            <w:shd w:fill="FFFFFF"/>
            <w:tcMar>
              <w:top w:w="90" w:type="dxa"/>
              <w:bottom w:w="90" w:type="dxa"/>
              <w:left w:w="120" w:type="dxa"/>
              <w:right w:w="120" w:type="dxa"/>
            </w:tcMar>
          </w:tcPr>
          <w:p>
            <w:pPr>
              <w:jc w:val="center"/>
            </w:pPr>
            <w:r>
              <w:rPr>
                <w:rFonts w:ascii="Times New Roman" w:hAnsi="Times New Roman"/>
                <w:b/>
                <w:color w:val="0F2440"/>
                <w:sz w:val="20"/>
              </w:rPr>
              <w:t>18 000 ₽</w:t>
            </w:r>
          </w:p>
        </w:tc>
        <w:tc>
          <w:tcPr>
            <w:tcW w:type="dxa" w:w="2452"/>
            <w:shd w:fill="FFFFFF"/>
            <w:tcMar>
              <w:top w:w="90" w:type="dxa"/>
              <w:bottom w:w="90" w:type="dxa"/>
              <w:left w:w="120" w:type="dxa"/>
              <w:right w:w="120" w:type="dxa"/>
            </w:tcMar>
          </w:tcPr>
          <w:p>
            <w:pPr>
              <w:jc w:val="center"/>
            </w:pPr>
            <w:r>
              <w:rPr>
                <w:rFonts w:ascii="Times New Roman" w:hAnsi="Times New Roman"/>
                <w:color w:val="111827"/>
                <w:sz w:val="20"/>
              </w:rPr>
              <w:t>15–25% (27 000–45 000 ₽) / 10%</w:t>
            </w:r>
          </w:p>
        </w:tc>
      </w:tr>
      <w:tr>
        <w:tc>
          <w:tcPr>
            <w:tcW w:type="dxa" w:w="2452"/>
            <w:shd w:fill="F8FAFC"/>
            <w:tcMar>
              <w:top w:w="90" w:type="dxa"/>
              <w:bottom w:w="90" w:type="dxa"/>
              <w:left w:w="120" w:type="dxa"/>
              <w:right w:w="120" w:type="dxa"/>
            </w:tcMar>
          </w:tcPr>
          <w:p>
            <w:pPr>
              <w:jc w:val="left"/>
            </w:pPr>
            <w:r>
              <w:rPr>
                <w:rFonts w:ascii="Times New Roman" w:hAnsi="Times New Roman"/>
                <w:color w:val="111827"/>
                <w:sz w:val="20"/>
              </w:rPr>
              <w:t>«Техносфера» (холдинги, безлимит и API)</w:t>
            </w:r>
          </w:p>
        </w:tc>
        <w:tc>
          <w:tcPr>
            <w:tcW w:type="dxa" w:w="2452"/>
            <w:shd w:fill="F8FAFC"/>
            <w:tcMar>
              <w:top w:w="90" w:type="dxa"/>
              <w:bottom w:w="90" w:type="dxa"/>
              <w:left w:w="120" w:type="dxa"/>
              <w:right w:w="120" w:type="dxa"/>
            </w:tcMar>
          </w:tcPr>
          <w:p>
            <w:pPr>
              <w:jc w:val="center"/>
            </w:pPr>
            <w:r>
              <w:rPr>
                <w:rFonts w:ascii="Times New Roman" w:hAnsi="Times New Roman"/>
                <w:color w:val="111827"/>
                <w:sz w:val="20"/>
              </w:rPr>
              <w:t>300 000 ₽ / год</w:t>
            </w:r>
          </w:p>
        </w:tc>
        <w:tc>
          <w:tcPr>
            <w:tcW w:type="dxa" w:w="2452"/>
            <w:shd w:fill="F8FAFC"/>
            <w:tcMar>
              <w:top w:w="90" w:type="dxa"/>
              <w:bottom w:w="90" w:type="dxa"/>
              <w:left w:w="120" w:type="dxa"/>
              <w:right w:w="120" w:type="dxa"/>
            </w:tcMar>
          </w:tcPr>
          <w:p>
            <w:pPr>
              <w:jc w:val="center"/>
            </w:pPr>
            <w:r>
              <w:rPr>
                <w:rFonts w:ascii="Times New Roman" w:hAnsi="Times New Roman"/>
                <w:b/>
                <w:color w:val="0F2440"/>
                <w:sz w:val="20"/>
              </w:rPr>
              <w:t>30 000 ₽</w:t>
            </w:r>
          </w:p>
        </w:tc>
        <w:tc>
          <w:tcPr>
            <w:tcW w:type="dxa" w:w="2452"/>
            <w:shd w:fill="F8FAFC"/>
            <w:tcMar>
              <w:top w:w="90" w:type="dxa"/>
              <w:bottom w:w="90" w:type="dxa"/>
              <w:left w:w="120" w:type="dxa"/>
              <w:right w:w="120" w:type="dxa"/>
            </w:tcMar>
          </w:tcPr>
          <w:p>
            <w:pPr>
              <w:jc w:val="center"/>
            </w:pPr>
            <w:r>
              <w:rPr>
                <w:rFonts w:ascii="Times New Roman" w:hAnsi="Times New Roman"/>
                <w:color w:val="111827"/>
                <w:sz w:val="20"/>
              </w:rPr>
              <w:t>15–25% (45 000–75 000 ₽) / 10%</w:t>
            </w:r>
          </w:p>
        </w:tc>
      </w:tr>
    </w:tbl>
    <w:p>
      <w:pPr>
        <w:spacing w:before="40" w:after="80" w:line="276" w:lineRule="auto"/>
        <w:ind w:left="227"/>
        <w:jc w:val="both"/>
      </w:pPr>
      <w:r>
        <w:rPr>
          <w:rFonts w:ascii="Times New Roman" w:hAnsi="Times New Roman"/>
          <w:color w:val="111827"/>
          <w:sz w:val="22"/>
        </w:rPr>
        <w:t>Грант выплачивается в течение 10 рабочих дней после фактического зачисления Принципалом оплаты первого года подписки. При возврате (полном или частичном) средств Клиенту грант удерживается из иных начислений Партнёра либо подлежит возврату пропорционально (механизм п. 4.4).</w:t>
      </w:r>
    </w:p>
    <w:p>
      <w:pPr>
        <w:spacing w:before="40" w:after="80" w:line="276" w:lineRule="auto"/>
        <w:ind w:left="227"/>
        <w:jc w:val="both"/>
      </w:pPr>
      <w:r>
        <w:rPr>
          <w:rFonts w:ascii="Times New Roman" w:hAnsi="Times New Roman"/>
          <w:b/>
          <w:color w:val="111827"/>
          <w:sz w:val="22"/>
        </w:rPr>
        <w:t xml:space="preserve">3.4.2. Правовое основание и налоговый комплаенс (ФЗ-422 и ст. 779 ГК РФ): </w:t>
      </w:r>
      <w:r>
        <w:rPr>
          <w:rFonts w:ascii="Times New Roman" w:hAnsi="Times New Roman"/>
          <w:color w:val="111827"/>
          <w:sz w:val="22"/>
        </w:rPr>
        <w:t>выплата по п. 3.4.1 является оплатой фактически оказанных инженерно-технических и методологических услуг по настройке справочников и верификации шаблонов Платформы (ст. 779 ГК РФ) и производится на основании подписанного сторонами Акта об оказанных услугах по первичной пусконаладке (по типовой форме Принципала /legal/partners/act_commissioning_npd_template.docx, в том числе путём обмена электронными образами документов или подтверждения в Личном кабинете Партнёра) и чека плательщика налога на профессиональный доход (НПД, приложение «Мой налог»), сформированного на ИНН Принципала 540128769624 со строгим наименованием услуги: «Услуги по методологической верификации отраслевых шаблонов, тестированию и первичной настройке справочников в АИС Нормограф». Ограничение п. 5 ч. 2 ст. 4 и п. 8 ч. 2 ст. 6 Федерального закона № 422-ФЗ соблюдается в полном объёме, поскольку исполнитель действует по договору возмездного оказания услуг (ст. 779 ГК РФ), а заказчиком услуги выступает Принципал (разработчик Платформы), не являющийся работодателем специалиста.</w:t>
      </w:r>
    </w:p>
    <w:p>
      <w:pPr>
        <w:spacing w:before="40" w:after="80" w:line="276" w:lineRule="auto"/>
        <w:ind w:left="227"/>
        <w:jc w:val="both"/>
      </w:pPr>
      <w:r>
        <w:rPr>
          <w:rFonts w:ascii="Times New Roman" w:hAnsi="Times New Roman"/>
          <w:b/>
          <w:color w:val="111827"/>
          <w:sz w:val="22"/>
        </w:rPr>
        <w:t xml:space="preserve">3.4.3. Неденежная профессиональная опция «Эксперт СОТ» (для штатных специалистов предприятий-клиентов, госсектора, ОПК и холдингов): </w:t>
      </w:r>
      <w:r>
        <w:rPr>
          <w:rFonts w:ascii="Times New Roman" w:hAnsi="Times New Roman"/>
          <w:color w:val="111827"/>
          <w:sz w:val="22"/>
        </w:rPr>
        <w:t>для штатных специалистов по охране труда предприятия-Клиента за прохождение аттестационного курса Академии и верификацию профиля предприятия закрепляется исключительно неденежный квалификационный статус и единый рабочий интерфейс «Эксперт СОТ» (техническая возможность переключения между контурами не более 2 организаций-клиентов с активной оплаченной подпиской или официальным тестовым периодом; при прекращении подписки компании доступ по лицензии приостанавливается). Опция «Эксперт СОТ» предоставляется исключительно за подтверждение квалификации по работе с Платформой вне зависимости от факта или суммы закупки со стороны работодателя, не является самостоятельным платным тарифом, не отчуждается и не создаёт личной имущественной выгоды (денежные выплаты за факт оплаты счёта собственным работодателем не производятся). Для государственных и муниципальных служащих, должностных лиц в смысле примечания 1 к ст. 285 УК РФ (работники госкорпораций, ГУП/МУП, обществ с госучастием более 50%, предприятий ОПК/ГОЗ), а также в случаях, когда антикоррупционная политика работодателя (ст. 13.3 Федерального закона № 273-ФЗ) исключает внешние партнёрские статусы, статус «Эксперт СОТ» действует исключительно как подтверждение прохождения курса по эксплуатации ПО и расширенный инженерный режим интерфейса внутри контура своего работодателя.</w:t>
      </w:r>
    </w:p>
    <w:p>
      <w:pPr>
        <w:spacing w:before="40" w:after="80" w:line="276" w:lineRule="auto"/>
        <w:ind w:left="227"/>
        <w:jc w:val="both"/>
      </w:pPr>
      <w:r>
        <w:rPr>
          <w:rFonts w:ascii="Times New Roman" w:hAnsi="Times New Roman"/>
          <w:b/>
          <w:color w:val="111827"/>
          <w:sz w:val="22"/>
        </w:rPr>
        <w:t xml:space="preserve">3.4.4. Антикоррупционная оговорка и исключение конфликта интересов (ст. 13.3 Федерального закона № 273-ФЗ, ст. 204, 291 УК РФ): </w:t>
      </w:r>
      <w:r>
        <w:rPr>
          <w:rFonts w:ascii="Times New Roman" w:hAnsi="Times New Roman"/>
          <w:color w:val="111827"/>
          <w:sz w:val="22"/>
        </w:rPr>
        <w:t>денежные выплаты по п. 3.1 и гранты по п. 3.4.1 категорически не начисляются и не выплачиваются штатным работникам Клиента (по основному месту работы), должностным лицам Клиента, членам закупочной комиссии и иным лицам, участвующим в принятии или согласовании решения о закупке Платформы их работодателем. Подавая заявку на денежный грант, Партнёр подтверждает отсутствие трудовых отношений с Клиентом, отсутствие конфликта интересов и совпадения ИНН.</w:t>
      </w:r>
    </w:p>
    <w:p>
      <w:pPr>
        <w:spacing w:before="40" w:after="80" w:line="276" w:lineRule="auto"/>
        <w:ind w:left="227"/>
        <w:jc w:val="both"/>
      </w:pPr>
      <w:r>
        <w:rPr>
          <w:rFonts w:ascii="Times New Roman" w:hAnsi="Times New Roman"/>
          <w:b/>
          <w:color w:val="111827"/>
          <w:sz w:val="22"/>
        </w:rPr>
        <w:t xml:space="preserve">3.4.5. Добросовестность условий по информационным рассылкам редакции 1.1 (от 23.10.2026): </w:t>
      </w:r>
      <w:r>
        <w:rPr>
          <w:rFonts w:ascii="Times New Roman" w:hAnsi="Times New Roman"/>
          <w:color w:val="111827"/>
          <w:sz w:val="22"/>
        </w:rPr>
        <w:t>в случае обращения внешнего независимого специалиста или учебного центра, получившего до вступления в силу редакции 1.2 информационное приглашение от 23.10.2026 с расчётной шкалой редакции 1.1, Принципал вправе по согласованию с оператором применить к первой пусконаладке условия редакции 1.1 при безусловном соблюдении антикоррупционных ограничений п. 3.4.4 и п. 4.3 настоящей Оферты.</w:t>
      </w:r>
    </w:p>
    <w:p>
      <w:pPr>
        <w:keepNext/>
        <w:spacing w:before="240" w:after="80"/>
      </w:pPr>
      <w:r>
        <w:rPr>
          <w:rFonts w:ascii="Arial" w:hAnsi="Arial"/>
          <w:b/>
          <w:color w:val="0F2440"/>
          <w:sz w:val="23"/>
        </w:rPr>
        <w:t>4. Правила атрибуции и антифрод-ограничения</w:t>
      </w:r>
    </w:p>
    <w:p>
      <w:pPr>
        <w:spacing w:before="40" w:after="80" w:line="276" w:lineRule="auto"/>
        <w:jc w:val="both"/>
      </w:pPr>
      <w:r>
        <w:rPr>
          <w:rFonts w:ascii="Times New Roman" w:hAnsi="Times New Roman"/>
          <w:b/>
          <w:color w:val="111827"/>
          <w:sz w:val="22"/>
        </w:rPr>
        <w:t xml:space="preserve">4.1. Окно атрибуции: </w:t>
      </w:r>
      <w:r>
        <w:rPr>
          <w:rFonts w:ascii="Times New Roman" w:hAnsi="Times New Roman"/>
          <w:color w:val="111827"/>
          <w:sz w:val="22"/>
        </w:rPr>
        <w:t>атрибуция Клиента за Партнёром действует в течение 180 календарных дней с момента ввода промокода Партнёра до момента поступления первой оплаты.</w:t>
      </w:r>
    </w:p>
    <w:p>
      <w:pPr>
        <w:spacing w:before="40" w:after="80" w:line="276" w:lineRule="auto"/>
        <w:jc w:val="both"/>
      </w:pPr>
      <w:r>
        <w:rPr>
          <w:rFonts w:ascii="Times New Roman" w:hAnsi="Times New Roman"/>
          <w:b/>
          <w:color w:val="111827"/>
          <w:sz w:val="22"/>
        </w:rPr>
        <w:t xml:space="preserve">4.2. Запрет атрибуции старой базы: </w:t>
      </w:r>
      <w:r>
        <w:rPr>
          <w:rFonts w:ascii="Times New Roman" w:hAnsi="Times New Roman"/>
          <w:color w:val="111827"/>
          <w:sz w:val="22"/>
        </w:rPr>
        <w:t>клиенты (тенанты), зарегистрированные в Платформе до даты запуска партнёрской программы (12.10.2026), признаются исторической базой Принципала и не подлежат атрибуции Партнёрам.</w:t>
      </w:r>
    </w:p>
    <w:p>
      <w:pPr>
        <w:spacing w:before="40" w:after="80" w:line="276" w:lineRule="auto"/>
        <w:jc w:val="both"/>
      </w:pPr>
      <w:r>
        <w:rPr>
          <w:rFonts w:ascii="Times New Roman" w:hAnsi="Times New Roman"/>
          <w:b/>
          <w:color w:val="111827"/>
          <w:sz w:val="22"/>
        </w:rPr>
        <w:t xml:space="preserve">4.3. Запрет самонайма и выплат участникам закупки: </w:t>
      </w:r>
      <w:r>
        <w:rPr>
          <w:rFonts w:ascii="Times New Roman" w:hAnsi="Times New Roman"/>
          <w:color w:val="111827"/>
          <w:sz w:val="22"/>
        </w:rPr>
        <w:t>категорически запрещается получение партнёрского процента (п. 3.1.1–3.1.3) и денежного гранта (п. 3.4.1) за оплату подписки собственной организации Партнёра либо организации-работодателя, в которой получатель состоит в штате или участвует в решении о закупке. В случае совпадения ИНН Партнёра (или ИНН его работодателя) с ИНН привлекаемого Клиента, а также при выявлении статуса штатного сотрудника Клиента, автоматическая реферальная атрибуция и заявка на денежный грант блокируются системой, а начисления аннулируются. Для штатных профильных специалистов Клиента применяется исключительно неденежная профессиональная лицензия «Эксперт СОТ» в порядке п. 3.4.3 настоящей Оферты.</w:t>
      </w:r>
    </w:p>
    <w:p>
      <w:pPr>
        <w:spacing w:before="40" w:after="80" w:line="276" w:lineRule="auto"/>
        <w:jc w:val="both"/>
      </w:pPr>
      <w:r>
        <w:rPr>
          <w:rFonts w:ascii="Times New Roman" w:hAnsi="Times New Roman"/>
          <w:b/>
          <w:color w:val="111827"/>
          <w:sz w:val="22"/>
        </w:rPr>
        <w:t xml:space="preserve">4.4. Обработка возвратов: </w:t>
      </w:r>
      <w:r>
        <w:rPr>
          <w:rFonts w:ascii="Times New Roman" w:hAnsi="Times New Roman"/>
          <w:color w:val="111827"/>
          <w:sz w:val="22"/>
        </w:rPr>
        <w:t>в случае отмены счёта или возврата (полного либо частичного) денежных средств Клиенту начисленное по соответствующему счёту вознаграждение автоматически и пропорционально удерживается.</w:t>
      </w:r>
    </w:p>
    <w:p>
      <w:pPr>
        <w:keepNext/>
        <w:spacing w:before="240" w:after="80"/>
      </w:pPr>
      <w:r>
        <w:rPr>
          <w:rFonts w:ascii="Arial" w:hAnsi="Arial"/>
          <w:b/>
          <w:color w:val="0F2440"/>
          <w:sz w:val="23"/>
        </w:rPr>
        <w:t>5. Порядок расчётов и выплат</w:t>
      </w:r>
    </w:p>
    <w:p>
      <w:pPr>
        <w:spacing w:before="40" w:after="80" w:line="276" w:lineRule="auto"/>
        <w:jc w:val="both"/>
      </w:pPr>
      <w:r>
        <w:rPr>
          <w:rFonts w:ascii="Times New Roman" w:hAnsi="Times New Roman"/>
          <w:b/>
          <w:color w:val="111827"/>
          <w:sz w:val="22"/>
        </w:rPr>
        <w:t xml:space="preserve">5.1. </w:t>
      </w:r>
      <w:r>
        <w:rPr>
          <w:rFonts w:ascii="Times New Roman" w:hAnsi="Times New Roman"/>
          <w:color w:val="111827"/>
          <w:sz w:val="22"/>
        </w:rPr>
        <w:t>Предварительный расчёт вознаграждения формируется в биллинговом контуре Платформы после подтверждения факта оплаты счёта Клиентом, а для услуг по первичной пусконаладке и сопровождению, оказываемых плательщиками НПД по ст. 779 ГК РФ, — после фактического выполнения работ, прохождения антикоррупционной верификации (п. 3.4.4, п. 4.3) и подтверждения статуса плательщика НПД.</w:t>
      </w:r>
    </w:p>
    <w:p>
      <w:pPr>
        <w:spacing w:before="40" w:after="80" w:line="276" w:lineRule="auto"/>
        <w:jc w:val="both"/>
      </w:pPr>
      <w:r>
        <w:rPr>
          <w:rFonts w:ascii="Times New Roman" w:hAnsi="Times New Roman"/>
          <w:b/>
          <w:color w:val="111827"/>
          <w:sz w:val="22"/>
        </w:rPr>
        <w:t xml:space="preserve">5.2. </w:t>
      </w:r>
      <w:r>
        <w:rPr>
          <w:rFonts w:ascii="Times New Roman" w:hAnsi="Times New Roman"/>
          <w:color w:val="111827"/>
          <w:sz w:val="22"/>
        </w:rPr>
        <w:t>Выплата вознаграждения осуществляется по безналичному расчёту на расчётный счёт (или банковские реквизиты) Партнёра в течение 10 рабочих дней с момента согласования закрывающих документов: для ЮЛ и ИП — на основании акта-отчёта Агента (либо акта оказанных услуг и счёта), для плательщиков НПД — строго на основании подписанного Сторонами Акта приёмки-сдачи оказанных услуг по ст. 779 ГК РФ (/legal/partners/act_commissioning_npd_template.docx) и действующего фискального чека из приложения ФНС «Мой налог» (ч. 8–10 ст. 15 Федерального закона № 422-ФЗ).</w:t>
      </w:r>
    </w:p>
    <w:p>
      <w:pPr>
        <w:spacing w:before="40" w:after="80" w:line="276" w:lineRule="auto"/>
        <w:jc w:val="both"/>
      </w:pPr>
      <w:r>
        <w:rPr>
          <w:rFonts w:ascii="Times New Roman" w:hAnsi="Times New Roman"/>
          <w:b/>
          <w:color w:val="111827"/>
          <w:sz w:val="22"/>
        </w:rPr>
        <w:t xml:space="preserve">5.3. </w:t>
      </w:r>
      <w:r>
        <w:rPr>
          <w:rFonts w:ascii="Times New Roman" w:hAnsi="Times New Roman"/>
          <w:color w:val="111827"/>
          <w:sz w:val="22"/>
        </w:rPr>
        <w:t>Все налоги и сборы, применимые к полученному доходу, Партнёр уплачивает самостоятельно в соответствии с применяемым налоговым режимом (УСН, НПД, ОСНО).</w:t>
      </w:r>
    </w:p>
    <w:p>
      <w:pPr>
        <w:keepNext/>
        <w:spacing w:before="240" w:after="80"/>
      </w:pPr>
      <w:r>
        <w:rPr>
          <w:rFonts w:ascii="Arial" w:hAnsi="Arial"/>
          <w:b/>
          <w:color w:val="0F2440"/>
          <w:sz w:val="23"/>
        </w:rPr>
        <w:t>6. Срок действия, изменение оферты и реквизиты Принципала</w:t>
      </w:r>
    </w:p>
    <w:p>
      <w:pPr>
        <w:spacing w:before="40" w:after="80" w:line="276" w:lineRule="auto"/>
        <w:jc w:val="both"/>
      </w:pPr>
      <w:r>
        <w:rPr>
          <w:rFonts w:ascii="Times New Roman" w:hAnsi="Times New Roman"/>
          <w:b/>
          <w:color w:val="111827"/>
          <w:sz w:val="22"/>
        </w:rPr>
        <w:t xml:space="preserve">6.1. </w:t>
      </w:r>
      <w:r>
        <w:rPr>
          <w:rFonts w:ascii="Times New Roman" w:hAnsi="Times New Roman"/>
          <w:color w:val="111827"/>
          <w:sz w:val="22"/>
        </w:rPr>
        <w:t>Настоящая Оферта вступает в силу с момента публикации на Сайте Платформы (https://нормограф.рф) и действует бессрочно.</w:t>
      </w:r>
    </w:p>
    <w:p>
      <w:pPr>
        <w:spacing w:before="40" w:after="80" w:line="276" w:lineRule="auto"/>
        <w:jc w:val="both"/>
      </w:pPr>
      <w:r>
        <w:rPr>
          <w:rFonts w:ascii="Times New Roman" w:hAnsi="Times New Roman"/>
          <w:b/>
          <w:color w:val="111827"/>
          <w:sz w:val="22"/>
        </w:rPr>
        <w:t xml:space="preserve">6.2. </w:t>
      </w:r>
      <w:r>
        <w:rPr>
          <w:rFonts w:ascii="Times New Roman" w:hAnsi="Times New Roman"/>
          <w:color w:val="111827"/>
          <w:sz w:val="22"/>
        </w:rPr>
        <w:t>Принципал оставляет за собой право вносить изменения в условия Оферты с уведомлением Партнёров через Личный кабинет или по электронной почте не менее чем за 14 календарных дней до вступления изменений в силу.</w:t>
      </w:r>
    </w:p>
    <w:tbl>
      <w:tblPr>
        <w:tblW w:type="auto" w:w="0"/>
        <w:jc w:val="center"/>
        <w:tblLook w:firstColumn="1" w:firstRow="1" w:lastColumn="0" w:lastRow="0" w:noHBand="0" w:noVBand="1" w:val="04A0"/>
        <w:tblBorders>
          <w:top w:val="single" w:sz="8" w:space="0" w:color="1E3A5F"/>
          <w:bottom w:val="single" w:sz="8" w:space="0" w:color="1E3A5F"/>
          <w:left w:val="single" w:sz="8" w:space="0" w:color="1E3A5F"/>
          <w:right w:val="single" w:sz="8" w:space="0" w:color="1E3A5F"/>
          <w:insideH w:val="single" w:sz="8" w:space="0" w:color="1E3A5F"/>
          <w:insideV w:val="single" w:sz="8" w:space="0" w:color="1E3A5F"/>
        </w:tblBorders>
      </w:tblPr>
      <w:tblGrid>
        <w:gridCol w:w="9809"/>
      </w:tblGrid>
      <w:tr>
        <w:tc>
          <w:tcPr>
            <w:tcW w:type="dxa" w:w="9809"/>
            <w:shd w:fill="F8FAFC"/>
            <w:tcMar>
              <w:top w:w="140" w:type="dxa"/>
              <w:bottom w:w="140" w:type="dxa"/>
              <w:left w:w="180" w:type="dxa"/>
              <w:right w:w="180" w:type="dxa"/>
            </w:tcMar>
          </w:tcPr>
          <w:p>
            <w:pPr>
              <w:spacing w:before="40" w:after="40"/>
            </w:pPr>
            <w:r>
              <w:rPr>
                <w:rFonts w:ascii="Arial" w:hAnsi="Arial"/>
                <w:b/>
                <w:color w:val="0F2440"/>
                <w:sz w:val="20"/>
              </w:rPr>
              <w:t>РЕКВИЗИТЫ ПРИНЦИПАЛА (ОПЕРАТОРА ПЛАТФОРМЫ «НОРМОГРАФ»):</w:t>
              <w:br/>
            </w:r>
            <w:r>
              <w:rPr>
                <w:rFonts w:ascii="Times New Roman" w:hAnsi="Times New Roman"/>
                <w:color w:val="111827"/>
                <w:sz w:val="21"/>
              </w:rPr>
              <w:t>Индивидуальный предприниматель Попов Владимир Николаевич</w:t>
              <w:br/>
              <w:t>ИНН: 540128769624  ·  ОГРНИП: 326547600182670</w:t>
              <w:br/>
              <w:t>Реестр операторов персональных данных Роскомнадзора: рег. № 54-26-063983 (Приказ № 224 от 23.10.2026)</w:t>
              <w:br/>
              <w:t>Адрес: 630124, Российская Федерация, г. Новосибирск, ул. Толбухина, д. 27/2, кв. 75</w:t>
              <w:br/>
              <w:t>Официальный сайт: https://нормограф.рф  ·  Партнёрский трек Академии: https://нормограф.рф/academy?track=partner</w:t>
              <w:br/>
              <w:t>Электронная почта: normograf@yandex.com  ·  Телефон: +7 (911) 916-53-58</w:t>
            </w:r>
          </w:p>
        </w:tc>
      </w:tr>
    </w:tbl>
    <w:sectPr w:rsidR="00FC693F" w:rsidRPr="0006063C" w:rsidSect="00034616">
      <w:headerReference w:type="default" r:id="rId9"/>
      <w:footerReference w:type="default" r:id="rId10"/>
      <w:pgSz w:w="11906" w:h="16838"/>
      <w:pgMar w:top="1020" w:right="850"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475569"/>
        <w:sz w:val="17"/>
      </w:rPr>
      <w:t>Публичная оферта партнёрской программы АИС «Нормограф» (редакция 1.2 от 23.10.2026) · Официальный документ АИС «Нормограф» (https://нормограф.рф)</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475569"/>
        <w:sz w:val="17"/>
      </w:rPr>
      <w:t>НОРМОГРАФ | СИСТЕМА НОРМАТИВНОГО КОНТРОЛЯ · ИП Попов В.Н. (ИНН 540128769624) · нормограф.рф</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партнёрской программы АИС «НОРМОГРАФ» (редакция 1.2)</dc:title>
  <dc:subject>Договор оказания услуг и партнёрского взаимодействия (ст. 779, 1005 ГК РФ)</dc:subject>
  <dc:creator>ИП Попов Владимир Николаевич (АИС «Нормограф»)</dc:creator>
  <cp:keywords/>
  <dc:description>generated by python-docx</dc:description>
  <cp:lastModifiedBy/>
  <cp:revision>1</cp:revision>
  <dcterms:created xsi:type="dcterms:W3CDTF">2013-12-23T23:15:00Z</dcterms:created>
  <dcterms:modified xsi:type="dcterms:W3CDTF">2013-12-23T23:15:00Z</dcterms:modified>
  <cp:category/>
</cp:coreProperties>
</file>